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0</w:t>
      </w:r>
    </w:p>
    <w:p>
      <w:pPr>
        <w:jc w:val="right"/>
      </w:pPr>
      <w:r>
        <w:t xml:space="preserve">к договору № ЭМ-2304-1/2023 от «23» апреля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10640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регулятора теплого пола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розетки интернет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19770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19770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19770 руб.</w:t>
      </w:r>
    </w:p>
    <w:p>
      <w:pPr>
        <w:jc w:val="right"/>
      </w:pPr>
      <w:r>
        <w:rPr>
          <w:rStyle w:val="TitleStyle"/>
          <w:b/>
        </w:rPr>
        <w:t>ИТОГО: 19770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Юрий Ю.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