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КП-1001-1/2023 от «10» января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291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26772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461</w:t>
            </w:r>
          </w:p>
        </w:tc>
        <w:tc>
          <w:tcPr>
            <w:tcW w:type="dxa" w:w="1134"/>
          </w:tcPr>
          <w:p>
            <w:r>
              <w:t>2766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29538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3879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40727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41.46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28193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34743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5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10100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44843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85570 руб.</w:t>
      </w:r>
    </w:p>
    <w:p>
      <w:pPr>
        <w:jc w:val="right"/>
      </w:pPr>
      <w:r>
        <w:rPr>
          <w:rStyle w:val="TitleStyle"/>
          <w:b/>
        </w:rPr>
        <w:t>ИТОГО: 85570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Черезова Е. С.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