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КП-1010-1/2023 от «10» октября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69828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75264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88874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74.51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55137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8960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76097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ДЕМОНТАЖ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Демонтаж первого ряда перегородок из блоков ГСБ / ПГП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5.7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6840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92137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181011 руб.</w:t>
      </w:r>
    </w:p>
    <w:p>
      <w:pPr>
        <w:jc w:val="right"/>
      </w:pPr>
      <w:r>
        <w:rPr>
          <w:rStyle w:val="TitleStyle"/>
          <w:b/>
        </w:rPr>
        <w:t>ИТОГО: 181011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Булатукова Ф.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