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КП-1605-1/2022 от «16» мая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D500 600х250х200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182</w:t>
            </w:r>
          </w:p>
        </w:tc>
        <w:tc>
          <w:tcPr>
            <w:tcW w:type="dxa" w:w="1134"/>
          </w:tcPr>
          <w:p>
            <w:r>
              <w:t>398</w:t>
            </w:r>
          </w:p>
        </w:tc>
        <w:tc>
          <w:tcPr>
            <w:tcW w:type="dxa" w:w="1134"/>
          </w:tcPr>
          <w:p>
            <w:r>
              <w:t>72436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74276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432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Арматура композитная стеклопластиковая 6мм 50м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1225</w:t>
            </w:r>
          </w:p>
        </w:tc>
        <w:tc>
          <w:tcPr>
            <w:tcW w:type="dxa" w:w="1134"/>
          </w:tcPr>
          <w:p>
            <w:r>
              <w:t>1225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2377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80443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200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25.95</w:t>
            </w:r>
          </w:p>
        </w:tc>
        <w:tc>
          <w:tcPr>
            <w:tcW w:type="dxa" w:w="1134"/>
          </w:tcPr>
          <w:p>
            <w:r>
              <w:t>1220</w:t>
            </w:r>
          </w:p>
        </w:tc>
        <w:tc>
          <w:tcPr>
            <w:tcW w:type="dxa" w:w="1134"/>
          </w:tcPr>
          <w:p>
            <w:r>
              <w:t>31659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Армировка стен стеклоарматурой (первый ряд + каждые 3 ряда)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125</w:t>
            </w:r>
          </w:p>
        </w:tc>
        <w:tc>
          <w:tcPr>
            <w:tcW w:type="dxa" w:w="1134"/>
          </w:tcPr>
          <w:p>
            <w:r>
              <w:t>3125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37594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7200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3.6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4320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11520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49114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129557 руб.</w:t>
      </w:r>
    </w:p>
    <w:p>
      <w:pPr>
        <w:jc w:val="right"/>
      </w:pPr>
      <w:r>
        <w:rPr>
          <w:rStyle w:val="TitleStyle"/>
          <w:b/>
        </w:rPr>
        <w:t>ИТОГО: 129557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Анкудинов А. М.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