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КП-2808-1/2023 от «28» августа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188</w:t>
            </w:r>
          </w:p>
        </w:tc>
        <w:tc>
          <w:tcPr>
            <w:tcW w:type="dxa" w:w="1134"/>
          </w:tcPr>
          <w:p>
            <w:r>
              <w:t>271</w:t>
            </w:r>
          </w:p>
        </w:tc>
        <w:tc>
          <w:tcPr>
            <w:tcW w:type="dxa" w:w="1134"/>
          </w:tcPr>
          <w:p>
            <w:r>
              <w:t>50948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54386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648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61696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200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26.74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  <w:tc>
          <w:tcPr>
            <w:tcW w:type="dxa" w:w="1134"/>
          </w:tcPr>
          <w:p>
            <w:r>
              <w:t>32623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35923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Демонтажные работы</w:t>
            </w:r>
          </w:p>
        </w:tc>
        <w:tc>
          <w:tcPr>
            <w:tcW w:type="dxa" w:w="1134"/>
          </w:tcPr>
          <w:p>
            <w:r>
              <w:t>к-с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50723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112419 руб.</w:t>
      </w:r>
    </w:p>
    <w:p>
      <w:pPr>
        <w:jc w:val="right"/>
      </w:pPr>
      <w:r>
        <w:rPr>
          <w:rStyle w:val="TitleStyle"/>
          <w:b/>
        </w:rPr>
        <w:t>ИТОГО: 112419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Вымекаев И.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