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КП-3005-1/2023 от «30» мая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29640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32358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38998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25160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стяжки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46820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85818 руб.</w:t>
      </w:r>
    </w:p>
    <w:p>
      <w:pPr>
        <w:jc w:val="right"/>
      </w:pPr>
      <w:r>
        <w:rPr>
          <w:rStyle w:val="TitleStyle"/>
          <w:b/>
        </w:rPr>
        <w:t>ИТОГО: 85818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Буданова Ю.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