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КП-3105-1/2024 от «31» мая 2024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518</w:t>
            </w:r>
          </w:p>
        </w:tc>
        <w:tc>
          <w:tcPr>
            <w:tcW w:type="dxa" w:w="1134"/>
          </w:tcPr>
          <w:p>
            <w:r>
              <w:t>2072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Блок газобетонный D600 600х250х100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138</w:t>
            </w:r>
          </w:p>
        </w:tc>
        <w:tc>
          <w:tcPr>
            <w:tcW w:type="dxa" w:w="1134"/>
          </w:tcPr>
          <w:p>
            <w:r>
              <w:t>30084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32744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2970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2282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744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4268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УСЛУГИ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2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2.5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51882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22940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30320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30320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82202 руб.</w:t>
      </w:r>
    </w:p>
    <w:p>
      <w:pPr>
        <w:jc w:val="right"/>
      </w:pPr>
      <w:r>
        <w:rPr>
          <w:rStyle w:val="TitleStyle"/>
          <w:b/>
        </w:rPr>
        <w:t>ИТОГО: 82202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Олегов О.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  <dc:identifier/>
  <dc:language/>
</cp:coreProperties>
</file>