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ЭМ-1706-1/2022 от «17»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33600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48800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192</w:t>
            </w:r>
          </w:p>
        </w:tc>
        <w:tc>
          <w:tcPr>
            <w:tcW w:type="dxa" w:w="1134"/>
          </w:tcPr>
          <w:p>
            <w:r>
              <w:t>4608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17750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118028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5992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5992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 4п 40А 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23844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 контроля напряжения с вольтметром УЗМ-50Ц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3182</w:t>
            </w:r>
          </w:p>
        </w:tc>
        <w:tc>
          <w:tcPr>
            <w:tcW w:type="dxa" w:w="1134"/>
          </w:tcPr>
          <w:p>
            <w:r>
              <w:t>9546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4Х15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72 модуля ABB 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47815</w:t>
            </w:r>
          </w:p>
        </w:tc>
        <w:tc>
          <w:tcPr>
            <w:tcW w:type="dxa" w:w="1134"/>
          </w:tcPr>
          <w:p>
            <w:r>
              <w:t>47815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18967</w:t>
            </w:r>
          </w:p>
        </w:tc>
        <w:tc>
          <w:tcPr>
            <w:tcW w:type="dxa" w:w="1134"/>
          </w:tcPr>
          <w:p>
            <w:r>
              <w:t>18967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126892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Лоток перфорированный 300х100х3000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2163</w:t>
            </w:r>
          </w:p>
        </w:tc>
        <w:tc>
          <w:tcPr>
            <w:tcW w:type="dxa" w:w="1134"/>
          </w:tcPr>
          <w:p>
            <w:r>
              <w:t>17304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4968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 гофрированная ПНД Ø25мм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34800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87772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3156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348908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28000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лотка металлического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118816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51000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16200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16000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324</w:t>
            </w:r>
          </w:p>
        </w:tc>
        <w:tc>
          <w:tcPr>
            <w:tcW w:type="dxa" w:w="1134"/>
          </w:tcPr>
          <w:p>
            <w:r>
              <w:t>48600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6620</w:t>
            </w:r>
          </w:p>
        </w:tc>
        <w:tc>
          <w:tcPr>
            <w:tcW w:type="dxa" w:w="1134"/>
          </w:tcPr>
          <w:p>
            <w:r>
              <w:t>6620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145370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8120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18700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Прозвонка слаботочной кабельной линии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307386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656294 руб.</w:t>
      </w:r>
    </w:p>
    <w:p>
      <w:pPr>
        <w:jc w:val="right"/>
      </w:pPr>
      <w:r>
        <w:rPr>
          <w:rStyle w:val="TitleStyle"/>
          <w:b/>
        </w:rPr>
        <w:t>ИТОГО: 656294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Маркин И.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