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ЭМ-2403-1/2023 от «24» марта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12400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17200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39260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4582</w:t>
            </w:r>
          </w:p>
        </w:tc>
        <w:tc>
          <w:tcPr>
            <w:tcW w:type="dxa" w:w="1134"/>
          </w:tcPr>
          <w:p>
            <w:r>
              <w:t>4582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1332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1670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29051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12123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710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810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Перчатки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16526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96960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16200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17000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828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3950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3160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1760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45378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12800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9000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9000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3330</w:t>
            </w:r>
          </w:p>
        </w:tc>
        <w:tc>
          <w:tcPr>
            <w:tcW w:type="dxa" w:w="1134"/>
          </w:tcPr>
          <w:p>
            <w:r>
              <w:t>3330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34130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1575</w:t>
            </w:r>
          </w:p>
        </w:tc>
        <w:tc>
          <w:tcPr>
            <w:tcW w:type="dxa" w:w="1134"/>
          </w:tcPr>
          <w:p>
            <w:r>
              <w:t>1575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2970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370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1740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6655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86163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183123 руб.</w:t>
      </w:r>
    </w:p>
    <w:p>
      <w:pPr>
        <w:jc w:val="right"/>
      </w:pPr>
      <w:r>
        <w:rPr>
          <w:rStyle w:val="TitleStyle"/>
          <w:b/>
        </w:rPr>
        <w:t>ИТОГО: 183123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Танц С.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