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ЭМ-2709-1/2023 от «27» сентября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14835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41536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15797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110105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15390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288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335</w:t>
            </w:r>
          </w:p>
        </w:tc>
        <w:tc>
          <w:tcPr>
            <w:tcW w:type="dxa" w:w="1134"/>
          </w:tcPr>
          <w:p>
            <w:r>
              <w:t>20100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10560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  <w:tc>
          <w:tcPr>
            <w:tcW w:type="dxa" w:w="1134"/>
          </w:tcPr>
          <w:p>
            <w:r>
              <w:t>4710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107523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217628 руб.</w:t>
      </w:r>
    </w:p>
    <w:p>
      <w:pPr>
        <w:jc w:val="right"/>
      </w:pPr>
      <w:r>
        <w:rPr>
          <w:rStyle w:val="TitleStyle"/>
          <w:b/>
        </w:rPr>
        <w:t>ИТОГО: 217628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Ручкина П.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