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ЭМ-0711-1/2022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07</w:t>
      </w:r>
      <w:bookmarkEnd w:id="1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Гопас Сергей Владиславович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обл., г. Котельники, мкр. Новые Котельники, д. 10, кв. 151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09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238297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восемь тысяч двести девяносто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120298 (Сто двадцать тысяч двести девяносто восемь)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117999 (Сто семнадцать тысяч девятьсот девяносто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Гопас Сергей Владиславович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4607 № 177904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Быковским ГОМ Раменского района Московской области
</w:t>
              <w:br/>
              <w:t xml:space="preserve">дата выдачи: 16.03.2006 г.
</w:t>
              <w:br/>
              <w:t xml:space="preserve">Код подразделения: 503-094
</w:t>
              <w:br/>
              <w:t xml:space="preserve">Адрес регистрации: Московская область, Раменский район, дер. Островцы, ул. Школьная, д. 15а, кв.8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Гопас С.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