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ЭМ-2309-2/2022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23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Сюзанна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26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205764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пять тысяч семьсот шестьдесят четыре)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101751 (Сто одна тысяча семьсот пятьдесят один) рубль.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104013 (Сто четыре тысячи тринадцать)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Сюзанна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С. 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