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КП-1402-2/2022</w:t>
      </w:r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0" w:name="__DdeLink__200_2223112790"/>
      <w:r>
        <w:rPr/>
        <w:t xml:space="preserve">14</w:t>
      </w:r>
      <w:bookmarkEnd w:id="0"/>
      <w:r>
        <w:rPr/>
        <w:t xml:space="preserve">» февраля 2022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Шапшарова Надежда Николаевна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жилом помещении, расположенном по адресу:г. Москва, Холодильный переулок, дом 4 апартамент 1201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Вывезти в 3 (Трех)-дневный срок со дня подписания Акта приемки работ, принадлежащие Подрядчику оборудование, инвентарь, инструменты.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\r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_Ref76750148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: «16» февраля 2022</w:t>
      </w:r>
    </w:p>
    <w:p>
      <w:pPr>
        <w:pStyle w:val="Normal"/>
        <w:spacing w:before="120" w:after="120"/>
        <w:ind w:left="426" w:hanging="0"/>
        <w:jc w:val="both"/>
        <w:rPr/>
      </w:pPr>
      <w:r>
        <w:rPr>
          <w:lang w:val="ru-RU"/>
        </w:rPr>
        <w:t xml:space="preserve">- общая продолжительность работ составляет 5 (пять) рабочих дней.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3" w:name="_Ref76750148"/>
      <w:r>
        <w:rPr>
          <w:b/>
          <w:lang w:val="ru-RU"/>
        </w:rPr>
        <w:t>СТОИМОСТЬ РАБОТ  И ПОРЯДОК ОПЛАТЫ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contextualSpacing/>
        <w:jc w:val="both"/>
        <w:rPr/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115000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Сто пятнадцать тысяч)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8" w:name="_Ref95234179"/>
      <w:bookmarkStart w:id="9" w:name="_Ref73371330"/>
      <w:r>
        <w:rPr>
          <w:lang w:val="ru-RU"/>
        </w:rPr>
        <w:t xml:space="preserve">Стоимость работ составляет 56526 (Пятьдесят шесть тысяч пятьсот двадцать шесть) рублей и определяется Приложением №1 к настоящему Договору.</w:t>
      </w:r>
      <w:bookmarkEnd w:id="8"/>
      <w:bookmarkEnd w:id="9"/>
    </w:p>
    <w:p>
      <w:pPr>
        <w:pStyle w:val="ListParagraph"/>
        <w:numPr>
          <w:ilvl w:val="1"/>
          <w:numId w:val="1"/>
        </w:numPr>
        <w:spacing w:before="120" w:after="120"/>
        <w:contextualSpacing/>
        <w:jc w:val="both"/>
        <w:rPr/>
      </w:pPr>
      <w:bookmarkStart w:id="10" w:name="_Ref73371283"/>
      <w:bookmarkStart w:id="11" w:name="_Ref11502995"/>
      <w:bookmarkEnd w:id="11"/>
      <w:r>
        <w:rPr>
          <w:lang w:val="ru-RU"/>
        </w:rPr>
        <w:t xml:space="preserve">Стоимость материалов с доставкой и подъемом составляет 61484 (Шестьдесят одна тысяча четыреста восемьдесят четыре) рубля и определяется Приложением №1 к настоящему Договору.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rPr/>
        <w:fldChar w:fldCharType="begin"/>
      </w:r>
      <w:r>
        <w:rPr/>
        <w:instrText> REF _Ref73371283 \r \h </w:instrText>
      </w:r>
      <w:r>
        <w:rPr/>
        <w:fldChar w:fldCharType="separate"/>
      </w:r>
      <w:r>
        <w:rPr/>
        <w:t>4.3</w:t>
      </w:r>
      <w:r>
        <w:rPr/>
        <w:fldChar w:fldCharType="end"/>
      </w:r>
      <w:r>
        <w:rPr>
          <w:lang w:val="ru-RU"/>
        </w:rPr>
        <w:t xml:space="preserve"> настоящего Договора, в день подписания данного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Заказчик оплачивает 100% стоимости Работ, указанной в п. </w:t>
      </w:r>
      <w:r>
        <w:rPr/>
        <w:fldChar w:fldCharType="begin"/>
      </w:r>
      <w:r>
        <w:rPr/>
        <w:instrText> REF _Ref95234179 \r \h </w:instrText>
      </w:r>
      <w:r>
        <w:rPr/>
        <w:fldChar w:fldCharType="separate"/>
      </w:r>
      <w:r>
        <w:rPr/>
        <w:t>4.2</w:t>
      </w:r>
      <w:r>
        <w:rPr/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/>
      </w:pPr>
      <w:bookmarkStart w:id="13" w:name="_Ref11259551"/>
      <w:r>
        <w:rPr>
          <w:lang w:val="ru-RU"/>
        </w:rPr>
        <w:t xml:space="preserve"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_Ref11259330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4" w:name="OLE_LINK1"/>
      <w:bookmarkStart w:id="15" w:name="OLE_LINK2"/>
      <w:r>
        <w:rPr>
          <w:lang w:val="ru-RU"/>
        </w:rPr>
        <w:t>приемки выполненных работ</w:t>
      </w:r>
      <w:bookmarkEnd w:id="14"/>
      <w:bookmarkEnd w:id="15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/>
      </w:pPr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Ответственность за качество материалов, оборудования и сроки поставки, а также за соответствие материалов и оборудования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567" w:hanging="504"/>
        <w:contextualSpacing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Объекта,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/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_Ref11259330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16" w:name="_Ref11259330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490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5247"/>
        <w:gridCol w:w="5242"/>
      </w:tblGrid>
      <w:tr>
        <w:trPr/>
        <w:tc>
          <w:tcPr>
            <w:tcW w:w="5247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7" w:name="__DdeLink__243_59595647"/>
            <w:r>
              <w:rPr>
                <w:b/>
              </w:rPr>
              <w:t xml:space="preserve">Шапшарова Надежда Николаевна</w:t>
            </w:r>
            <w:bookmarkEnd w:id="17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Паспорт</w:t>
            </w:r>
            <w:r>
              <w:rPr/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rPr/>
              <w:t xml:space="preserve"> _______ № _____________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rPr/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Autospacing="1"/>
              <w:jc w:val="both"/>
              <w:rPr/>
            </w:pPr>
            <w:r>
              <w:rPr>
                <w:b/>
                <w:lang w:eastAsia="ru-RU"/>
              </w:rPr>
              <w:t xml:space="preserve">Email: ____________________ </w:t>
            </w:r>
          </w:p>
        </w:tc>
        <w:tc>
          <w:tcPr>
            <w:tcW w:w="5242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lineRule="auto" w:line="360"/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эт. 1, пом. </w:t>
            </w:r>
            <w:r>
              <w:rPr/>
              <w:t>III</w:t>
            </w:r>
            <w:r>
              <w:rPr>
                <w:lang w:val="ru-RU"/>
              </w:rPr>
              <w:t>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rPr/>
              <w:t xml:space="preserve"> </w:t>
            </w:r>
          </w:p>
        </w:tc>
      </w:tr>
    </w:tbl>
    <w:tbl>
      <w:tblPr>
        <w:tblpPr w:bottomFromText="0" w:horzAnchor="margin" w:leftFromText="180" w:rightFromText="180" w:tblpX="0" w:tblpY="301" w:topFromText="0" w:vertAnchor="text"/>
        <w:tblW w:w="1049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247"/>
        <w:gridCol w:w="5242"/>
      </w:tblGrid>
      <w:tr>
        <w:trPr/>
        <w:tc>
          <w:tcPr>
            <w:tcW w:w="5247" w:type="dxa"/>
            <w:tcBorders/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</w:rPr>
            </w:pPr>
            <w:r>
              <w:rPr>
                <w:b/>
              </w:rPr>
              <w:t xml:space="preserve">Заказчик  </w:t>
            </w:r>
          </w:p>
        </w:tc>
        <w:tc>
          <w:tcPr>
            <w:tcW w:w="5242" w:type="dxa"/>
            <w:tcBorders/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</w:rPr>
            </w:pPr>
            <w:r>
              <w:rPr>
                <w:b/>
              </w:rPr>
              <w:t>Подрядчик</w:t>
            </w:r>
          </w:p>
        </w:tc>
      </w:tr>
      <w:tr>
        <w:trPr>
          <w:trHeight w:val="916" w:hRule="atLeast"/>
        </w:trPr>
        <w:tc>
          <w:tcPr>
            <w:tcW w:w="5247" w:type="dxa"/>
            <w:tcBorders/>
            <w:shd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jc w:val="both"/>
              <w:rPr/>
            </w:pPr>
            <w:r>
              <w:rPr>
                <w:lang w:val="ru-RU"/>
              </w:rPr>
              <w:t xml:space="preserve">_______________________/ </w:t>
            </w:r>
            <w:bookmarkStart w:id="19" w:name="__DdeLink__1979_2328210590"/>
            <w:r>
              <w:rPr>
                <w:lang w:val="ru-RU"/>
              </w:rPr>
              <w:t xml:space="preserve">Шапшарова Н. Н.</w:t>
            </w:r>
            <w:bookmarkEnd w:id="19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42" w:type="dxa"/>
            <w:tcBorders/>
            <w:shd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О.В./                                                    </w:t>
            </w:r>
          </w:p>
          <w:p>
            <w:pPr>
              <w:pStyle w:val="Normal"/>
              <w:ind w:firstLine="720"/>
              <w:jc w:val="both"/>
              <w:rPr>
                <w:lang w:val="ru-RU"/>
              </w:rPr>
            </w:pPr>
            <w:r>
              <w:rPr>
                <w:lang w:val="ru-RU"/>
              </w:rPr>
              <w:t>м.п.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spacing w:before="240" w:after="60"/>
        <w:rPr/>
      </w:pPr>
      <w:r>
        <w:rPr/>
      </w:r>
    </w:p>
    <w:sectPr>
      <w:footerReference w:type="default" r:id="rId2"/>
      <w:type w:val="nextPage"/>
      <w:pgSz w:w="11906" w:h="16838"/>
      <w:pgMar w:left="654" w:right="620" w:header="0" w:top="544" w:footer="0" w:bottom="51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Annotationreference">
    <w:name w:val="annotation reference"/>
    <w:basedOn w:val="DefaultParagraphFont"/>
    <w:qFormat/>
    <w:rsid w:val="00062671"/>
    <w:rPr>
      <w:sz w:val="16"/>
      <w:szCs w:val="16"/>
    </w:rPr>
  </w:style>
  <w:style w:type="character" w:styleId="Style15" w:customStyle="1">
    <w:name w:val="Текст примечания Знак"/>
    <w:basedOn w:val="DefaultParagraphFont"/>
    <w:qFormat/>
    <w:rsid w:val="00062671"/>
    <w:rPr>
      <w:lang w:val="en-US" w:eastAsia="en-US"/>
    </w:rPr>
  </w:style>
  <w:style w:type="character" w:styleId="Style16" w:customStyle="1">
    <w:name w:val="Тема примечания Знак"/>
    <w:basedOn w:val="Style15"/>
    <w:qFormat/>
    <w:rsid w:val="00062671"/>
    <w:rPr>
      <w:b/>
      <w:bCs/>
      <w:lang w:val="en-US" w:eastAsia="en-US"/>
    </w:rPr>
  </w:style>
  <w:style w:type="character" w:styleId="HTML" w:customStyle="1">
    <w:name w:val="Стандартный HTML Знак"/>
    <w:basedOn w:val="DefaultParagraphFont"/>
    <w:uiPriority w:val="99"/>
    <w:qFormat/>
    <w:rsid w:val="00f02a35"/>
    <w:rPr>
      <w:rFonts w:ascii="Courier New" w:hAnsi="Courier New" w:cs="Courier New"/>
    </w:rPr>
  </w:style>
  <w:style w:type="character" w:styleId="Appleconvertedspace" w:customStyle="1">
    <w:name w:val="apple-converted-space"/>
    <w:basedOn w:val="DefaultParagraphFont"/>
    <w:qFormat/>
    <w:rsid w:val="004168a0"/>
    <w:rPr/>
  </w:style>
  <w:style w:type="character" w:styleId="S10" w:customStyle="1">
    <w:name w:val="s10"/>
    <w:basedOn w:val="DefaultParagraphFont"/>
    <w:qFormat/>
    <w:rsid w:val="004168a0"/>
    <w:rPr/>
  </w:style>
  <w:style w:type="character" w:styleId="S4" w:customStyle="1">
    <w:name w:val="s4"/>
    <w:basedOn w:val="DefaultParagraphFont"/>
    <w:qFormat/>
    <w:rsid w:val="004168a0"/>
    <w:rPr/>
  </w:style>
  <w:style w:type="character" w:styleId="S14" w:customStyle="1">
    <w:name w:val="s14"/>
    <w:basedOn w:val="DefaultParagraphFont"/>
    <w:qFormat/>
    <w:rsid w:val="007623c3"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  <w:bCs/>
    </w:rPr>
  </w:style>
  <w:style w:type="character" w:styleId="ListLabel4" w:customStyle="1">
    <w:name w:val="ListLabel 4"/>
    <w:qFormat/>
    <w:rPr>
      <w:b/>
      <w:bCs/>
    </w:rPr>
  </w:style>
  <w:style w:type="character" w:styleId="ListLabel5" w:customStyle="1">
    <w:name w:val="ListLabel 5"/>
    <w:qFormat/>
    <w:rPr>
      <w:b/>
      <w:bCs/>
    </w:rPr>
  </w:style>
  <w:style w:type="character" w:styleId="ListLabel6" w:customStyle="1">
    <w:name w:val="ListLabel 6"/>
    <w:qFormat/>
    <w:rPr>
      <w:b/>
      <w:bCs/>
    </w:rPr>
  </w:style>
  <w:style w:type="character" w:styleId="ListLabel7" w:customStyle="1">
    <w:name w:val="ListLabel 7"/>
    <w:qFormat/>
    <w:rPr>
      <w:b/>
      <w:bCs/>
    </w:rPr>
  </w:style>
  <w:style w:type="character" w:styleId="ListLabel8" w:customStyle="1">
    <w:name w:val="ListLabel 8"/>
    <w:qFormat/>
    <w:rPr>
      <w:b/>
      <w:bCs/>
    </w:rPr>
  </w:style>
  <w:style w:type="character" w:styleId="ListLabel9" w:customStyle="1">
    <w:name w:val="ListLabel 9"/>
    <w:qFormat/>
    <w:rPr>
      <w:b/>
      <w:bCs/>
    </w:rPr>
  </w:style>
  <w:style w:type="character" w:styleId="ListLabel10" w:customStyle="1">
    <w:name w:val="ListLabel 10"/>
    <w:qFormat/>
    <w:rPr>
      <w:b/>
      <w:bCs/>
    </w:rPr>
  </w:style>
  <w:style w:type="character" w:styleId="ListLabel11" w:customStyle="1">
    <w:name w:val="ListLabel 11"/>
    <w:qFormat/>
    <w:rPr>
      <w:b/>
      <w:bCs/>
    </w:rPr>
  </w:style>
  <w:style w:type="character" w:styleId="ListLabel12" w:customStyle="1">
    <w:name w:val="ListLabel 12"/>
    <w:qFormat/>
    <w:rPr>
      <w:b/>
      <w:bCs/>
    </w:rPr>
  </w:style>
  <w:style w:type="character" w:styleId="ListLabel13" w:customStyle="1">
    <w:name w:val="ListLabel 13"/>
    <w:qFormat/>
    <w:rPr>
      <w:b/>
      <w:bCs/>
    </w:rPr>
  </w:style>
  <w:style w:type="character" w:styleId="ListLabel14" w:customStyle="1">
    <w:name w:val="ListLabel 14"/>
    <w:qFormat/>
    <w:rPr>
      <w:b/>
      <w:bCs/>
    </w:rPr>
  </w:style>
  <w:style w:type="character" w:styleId="ListLabel15" w:customStyle="1">
    <w:name w:val="ListLabel 15"/>
    <w:qFormat/>
    <w:rPr>
      <w:b/>
      <w:bCs/>
    </w:rPr>
  </w:style>
  <w:style w:type="character" w:styleId="ListLabel16" w:customStyle="1">
    <w:name w:val="ListLabel 16"/>
    <w:qFormat/>
    <w:rPr>
      <w:b/>
      <w:bCs/>
    </w:rPr>
  </w:style>
  <w:style w:type="character" w:styleId="ListLabel17" w:customStyle="1">
    <w:name w:val="ListLabel 17"/>
    <w:qFormat/>
    <w:rPr>
      <w:b/>
      <w:bCs/>
    </w:rPr>
  </w:style>
  <w:style w:type="character" w:styleId="ListLabel18" w:customStyle="1">
    <w:name w:val="ListLabel 18"/>
    <w:qFormat/>
    <w:rPr>
      <w:b/>
      <w:bCs/>
    </w:rPr>
  </w:style>
  <w:style w:type="character" w:styleId="ListLabel19" w:customStyle="1">
    <w:name w:val="ListLabel 19"/>
    <w:qFormat/>
    <w:rPr>
      <w:b/>
      <w:bCs/>
    </w:rPr>
  </w:style>
  <w:style w:type="character" w:styleId="ListLabel20" w:customStyle="1">
    <w:name w:val="ListLabel 20"/>
    <w:qFormat/>
    <w:rPr>
      <w:b/>
      <w:bCs/>
    </w:rPr>
  </w:style>
  <w:style w:type="character" w:styleId="ListLabel21" w:customStyle="1">
    <w:name w:val="ListLabel 21"/>
    <w:qFormat/>
    <w:rPr>
      <w:rFonts w:cs="Symbol"/>
    </w:rPr>
  </w:style>
  <w:style w:type="character" w:styleId="ListLabel22">
    <w:name w:val="ListLabel 22"/>
    <w:qFormat/>
    <w:rPr>
      <w:b/>
      <w:bCs/>
    </w:rPr>
  </w:style>
  <w:style w:type="character" w:styleId="ListLabel23">
    <w:name w:val="ListLabel 23"/>
    <w:qFormat/>
    <w:rPr>
      <w:b/>
      <w:bCs/>
    </w:rPr>
  </w:style>
  <w:style w:type="character" w:styleId="ListLabel24">
    <w:name w:val="ListLabel 24"/>
    <w:qFormat/>
    <w:rPr>
      <w:b/>
      <w:bCs/>
    </w:rPr>
  </w:style>
  <w:style w:type="character" w:styleId="ListLabel25">
    <w:name w:val="ListLabel 25"/>
    <w:qFormat/>
    <w:rPr>
      <w:b/>
      <w:bCs/>
    </w:rPr>
  </w:style>
  <w:style w:type="character" w:styleId="ListLabel26">
    <w:name w:val="ListLabel 26"/>
    <w:qFormat/>
    <w:rPr>
      <w:b/>
      <w:bCs/>
    </w:rPr>
  </w:style>
  <w:style w:type="character" w:styleId="ListLabel27">
    <w:name w:val="ListLabel 27"/>
    <w:qFormat/>
    <w:rPr>
      <w:b/>
      <w:bCs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b/>
      <w:bCs/>
    </w:rPr>
  </w:style>
  <w:style w:type="character" w:styleId="ListLabel30">
    <w:name w:val="ListLabel 30"/>
    <w:qFormat/>
    <w:rPr>
      <w:b/>
      <w:bCs/>
    </w:rPr>
  </w:style>
  <w:style w:type="character" w:styleId="ListLabel31">
    <w:name w:val="ListLabel 31"/>
    <w:qFormat/>
    <w:rPr>
      <w:b/>
      <w:bCs/>
    </w:rPr>
  </w:style>
  <w:style w:type="character" w:styleId="ListLabel32">
    <w:name w:val="ListLabel 32"/>
    <w:qFormat/>
    <w:rPr>
      <w:b/>
      <w:bCs/>
    </w:rPr>
  </w:style>
  <w:style w:type="character" w:styleId="ListLabel33">
    <w:name w:val="ListLabel 33"/>
    <w:qFormat/>
    <w:rPr>
      <w:b/>
      <w:bCs/>
    </w:rPr>
  </w:style>
  <w:style w:type="character" w:styleId="ListLabel34">
    <w:name w:val="ListLabel 34"/>
    <w:qFormat/>
    <w:rPr>
      <w:b/>
      <w:bCs/>
    </w:rPr>
  </w:style>
  <w:style w:type="character" w:styleId="ListLabel35">
    <w:name w:val="ListLabel 35"/>
    <w:qFormat/>
    <w:rPr>
      <w:rFonts w:cs="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Title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3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4">
    <w:name w:val="Footer"/>
    <w:basedOn w:val="Normal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5">
    <w:name w:val="Header"/>
    <w:basedOn w:val="Normal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qFormat/>
    <w:rsid w:val="00062671"/>
    <w:pPr/>
    <w:rPr>
      <w:sz w:val="20"/>
      <w:szCs w:val="20"/>
    </w:rPr>
  </w:style>
  <w:style w:type="paragraph" w:styleId="Annotationsubject">
    <w:name w:val="annotation subject"/>
    <w:basedOn w:val="Annotationtext"/>
    <w:qFormat/>
    <w:rsid w:val="00062671"/>
    <w:pPr/>
    <w:rPr>
      <w:b/>
      <w:bCs/>
    </w:rPr>
  </w:style>
  <w:style w:type="paragraph" w:styleId="HTMLPreformatted">
    <w:name w:val="HTML Preformatted"/>
    <w:basedOn w:val="Normal"/>
    <w:uiPriority w:val="99"/>
    <w:unhideWhenUsed/>
    <w:qFormat/>
    <w:rsid w:val="00f02a35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Application>LibreOffice/6.0.7.3$Linux_X86_64 LibreOffice_project/00m0$Build-3</Application>
  <Pages>4</Pages>
  <Words>1418</Words>
  <Characters>9929</Characters>
  <CharactersWithSpaces>11382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2021-07-09T15:29:00Z</dcterms:created>
  <dc:creator>Жанна</dc:creator>
  <dc:description/>
  <dc:language>ru-RU</dc:language>
  <cp:lastModifiedBy/>
  <cp:lastPrinted>2019-05-14T22:44:00Z</cp:lastPrinted>
  <dcterms:modified xsi:type="dcterms:W3CDTF">2022-02-08T23:13:57Z</dcterms:modified>
  <cp:revision>10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