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ЭМ-12 от 06 марта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Попова Елена Петровна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12040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1065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872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2п 63А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2467</w:t>
            </w:r>
          </w:p>
        </w:tc>
        <w:tc>
          <w:tcPr>
            <w:tcW w:type="dxa" w:w="1134"/>
          </w:tcPr>
          <w:p>
            <w:r>
              <w:t>2467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58823 руб.</w:t>
      </w:r>
    </w:p>
    <w:p>
      <w:r>
        <w:t>Скидка: 0 руб.</w:t>
      </w:r>
    </w:p>
    <w:p>
      <w:r>
        <w:t>Итого со скидкой: 58823 руб.</w:t>
      </w:r>
    </w:p>
    <w:p>
      <w:r>
        <w:rPr>
          <w:b/>
        </w:rPr>
        <w:t>Пятьдесят восемь тысяч восемьсот двадцать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