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ЭМ-17 от 24 марта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Танц Сергей Александрович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560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1670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1332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33 на сумму: 96960 руб.</w:t>
      </w:r>
    </w:p>
    <w:p>
      <w:r>
        <w:t>Скидка: 0 руб.</w:t>
      </w:r>
    </w:p>
    <w:p>
      <w:r>
        <w:t>Итого со скидкой: 96960 руб.</w:t>
      </w:r>
    </w:p>
    <w:p>
      <w:r>
        <w:rPr>
          <w:b/>
        </w:rPr>
        <w:t>Девяносто шесть тысяч девятьсот шестьдесят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