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ЭМ-66 от 27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Ручкина Полина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9450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18920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11780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  <w:tc>
          <w:tcPr>
            <w:tcW w:type="dxa" w:w="1134"/>
          </w:tcPr>
          <w:p>
            <w:r>
              <w:t>3280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4945</w:t>
            </w:r>
          </w:p>
        </w:tc>
        <w:tc>
          <w:tcPr>
            <w:tcW w:type="dxa" w:w="1134"/>
          </w:tcPr>
          <w:p>
            <w:r>
              <w:t>14835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1724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110105 руб.</w:t>
      </w:r>
    </w:p>
    <w:p>
      <w:r>
        <w:t>Скидка: 0 руб.</w:t>
      </w:r>
    </w:p>
    <w:p>
      <w:r>
        <w:t>Итого со скидкой: 110105 руб.</w:t>
      </w:r>
    </w:p>
    <w:p>
      <w:r>
        <w:rPr>
          <w:b/>
        </w:rPr>
        <w:t>Сто десять тысяч сто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