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ЭМ-79 от 18 ноября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Ковязин Максим Сергеевич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756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20160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15870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13038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3017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3624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Контактор модульный 4п 40А АС 2НО 230В 3 модуля ABB ESB40-20N-06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9370</w:t>
            </w:r>
          </w:p>
        </w:tc>
        <w:tc>
          <w:tcPr>
            <w:tcW w:type="dxa" w:w="1134"/>
          </w:tcPr>
          <w:p>
            <w:r>
              <w:t>9370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30 на сумму: 116522 руб.</w:t>
      </w:r>
    </w:p>
    <w:p>
      <w:r>
        <w:t>Скидка: 2960 руб.</w:t>
      </w:r>
    </w:p>
    <w:p>
      <w:r>
        <w:t>Итого со скидкой: 113562 руб.</w:t>
      </w:r>
    </w:p>
    <w:p>
      <w:r>
        <w:rPr>
          <w:b/>
        </w:rPr>
        <w:t>Сто шестнадцать тысяч пятьсот двадцать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